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  <w:rPr>
                <w:b/>
                <w:bCs/>
              </w:rPr>
            </w:pPr>
            <w:r w:rsidRPr="001A1A8A">
              <w:rPr>
                <w:b/>
                <w:bCs/>
              </w:rPr>
              <w:t xml:space="preserve">P.č. 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Interné číslo faktúry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Číslo faktúry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Dodávateľ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Fakturované plnenie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Hodnota fakturovaného      plnenia v €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  <w:rPr>
                <w:b/>
                <w:bCs/>
              </w:rPr>
            </w:pPr>
            <w:r w:rsidRPr="001A1A8A">
              <w:rPr>
                <w:b/>
                <w:bCs/>
              </w:rPr>
              <w:t>Spôsob</w:t>
            </w:r>
          </w:p>
          <w:p w:rsidR="003E200A" w:rsidRPr="001A1A8A" w:rsidRDefault="003E200A" w:rsidP="001A1A8A">
            <w:pPr>
              <w:spacing w:after="0" w:line="240" w:lineRule="auto"/>
              <w:rPr>
                <w:b/>
                <w:bCs/>
              </w:rPr>
            </w:pPr>
            <w:r w:rsidRPr="001A1A8A">
              <w:rPr>
                <w:b/>
                <w:bCs/>
              </w:rPr>
              <w:t>úhrady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 xml:space="preserve">Výška úhrady </w:t>
            </w:r>
          </w:p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v €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  <w:rPr>
                <w:b/>
                <w:bCs/>
              </w:rPr>
            </w:pPr>
            <w:r w:rsidRPr="001A1A8A">
              <w:rPr>
                <w:b/>
                <w:bCs/>
              </w:rPr>
              <w:t>Dátum úhrady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 xml:space="preserve">Výška úhrady </w:t>
            </w:r>
          </w:p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v €</w:t>
            </w: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  <w:jc w:val="center"/>
              <w:rPr>
                <w:b/>
                <w:bCs/>
              </w:rPr>
            </w:pPr>
            <w:r w:rsidRPr="001A1A8A">
              <w:rPr>
                <w:b/>
                <w:bCs/>
              </w:rPr>
              <w:t>Dátum úhrady</w:t>
            </w: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54/12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6739053748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T-COM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telefón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14,98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14,98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8.6.2012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55/12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7232522404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SPP-Košice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Splátka plynu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11,00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11,00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>
              <w:t xml:space="preserve">  6</w:t>
            </w:r>
            <w:r w:rsidRPr="001A1A8A">
              <w:t>.8.2012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3.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56/12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58/2012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Ing.Gardoš M.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Znalecký posudok 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100,00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100,00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13.6.2012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4.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57/12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1201727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Slavconet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Internetové služby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11,62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11,62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13.6.2012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58/12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2155482482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Orange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Mobilný telefón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26,15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26,15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18.6.2012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6.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59/12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2012103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ZOHT-Lipany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Preddavok na služby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130,00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130,00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18.6.2012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7.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60/12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3117120732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M.Pedersen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Separovaný zber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10,38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10,38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9.7.2012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8.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61/12</w:t>
            </w: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2112060597</w:t>
            </w: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SAD-Prešov</w:t>
            </w: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Dotácia na II.Q 2012</w:t>
            </w: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119,50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PP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119,50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9.7.2012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9.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10.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rPr>
          <w:trHeight w:val="77"/>
        </w:trPr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11.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</w:t>
            </w: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12.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13.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14.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   </w:t>
            </w: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 xml:space="preserve">   </w:t>
            </w: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15.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16.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17.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18.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19.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20.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  <w:tr w:rsidR="003E200A" w:rsidRPr="001A1A8A">
        <w:tc>
          <w:tcPr>
            <w:tcW w:w="543" w:type="dxa"/>
          </w:tcPr>
          <w:p w:rsidR="003E200A" w:rsidRPr="001A1A8A" w:rsidRDefault="003E200A" w:rsidP="001A1A8A">
            <w:pPr>
              <w:spacing w:after="0" w:line="240" w:lineRule="auto"/>
            </w:pPr>
            <w:r w:rsidRPr="001A1A8A">
              <w:t>21.</w:t>
            </w:r>
          </w:p>
        </w:tc>
        <w:tc>
          <w:tcPr>
            <w:tcW w:w="887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5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70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2694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336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881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290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13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  <w:tc>
          <w:tcPr>
            <w:tcW w:w="1149" w:type="dxa"/>
          </w:tcPr>
          <w:p w:rsidR="003E200A" w:rsidRPr="001A1A8A" w:rsidRDefault="003E200A" w:rsidP="001A1A8A">
            <w:pPr>
              <w:spacing w:after="0" w:line="240" w:lineRule="auto"/>
            </w:pPr>
          </w:p>
        </w:tc>
      </w:tr>
    </w:tbl>
    <w:p w:rsidR="003E200A" w:rsidRDefault="003E200A"/>
    <w:sectPr w:rsidR="003E200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0A" w:rsidRDefault="003E200A" w:rsidP="00421AB8">
      <w:pPr>
        <w:spacing w:after="0" w:line="240" w:lineRule="auto"/>
      </w:pPr>
      <w:r>
        <w:separator/>
      </w:r>
    </w:p>
  </w:endnote>
  <w:endnote w:type="continuationSeparator" w:id="0">
    <w:p w:rsidR="003E200A" w:rsidRDefault="003E200A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0A" w:rsidRDefault="003E200A" w:rsidP="00421AB8">
      <w:pPr>
        <w:spacing w:after="0" w:line="240" w:lineRule="auto"/>
      </w:pPr>
      <w:r>
        <w:separator/>
      </w:r>
    </w:p>
  </w:footnote>
  <w:footnote w:type="continuationSeparator" w:id="0">
    <w:p w:rsidR="003E200A" w:rsidRDefault="003E200A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0A" w:rsidRPr="00F810D5" w:rsidRDefault="003E200A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  <w:t xml:space="preserve">FAKTÚRY 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F810D5">
      <w:rPr>
        <w:rFonts w:ascii="Times New Roman" w:hAnsi="Times New Roman" w:cs="Times New Roman"/>
        <w:sz w:val="28"/>
        <w:szCs w:val="28"/>
      </w:rPr>
      <w:t>ZA</w:t>
    </w:r>
    <w:r>
      <w:rPr>
        <w:rFonts w:ascii="Times New Roman" w:hAnsi="Times New Roman" w:cs="Times New Roman"/>
        <w:sz w:val="28"/>
        <w:szCs w:val="28"/>
      </w:rPr>
      <w:t xml:space="preserve">  JÚN 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B8"/>
    <w:rsid w:val="00006C00"/>
    <w:rsid w:val="0001301A"/>
    <w:rsid w:val="00044674"/>
    <w:rsid w:val="0006379E"/>
    <w:rsid w:val="000F77C4"/>
    <w:rsid w:val="00122345"/>
    <w:rsid w:val="001A1A8A"/>
    <w:rsid w:val="001F211E"/>
    <w:rsid w:val="00215885"/>
    <w:rsid w:val="002537EF"/>
    <w:rsid w:val="002B4F3B"/>
    <w:rsid w:val="002E596E"/>
    <w:rsid w:val="003C68EA"/>
    <w:rsid w:val="003E200A"/>
    <w:rsid w:val="00414DF6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73D0F"/>
    <w:rsid w:val="006F064C"/>
    <w:rsid w:val="006F3E62"/>
    <w:rsid w:val="00727B70"/>
    <w:rsid w:val="007E0C59"/>
    <w:rsid w:val="007E5BA9"/>
    <w:rsid w:val="008E1C3B"/>
    <w:rsid w:val="0091570C"/>
    <w:rsid w:val="00963EF6"/>
    <w:rsid w:val="00973F6B"/>
    <w:rsid w:val="009A2E98"/>
    <w:rsid w:val="009A5C06"/>
    <w:rsid w:val="00A646CA"/>
    <w:rsid w:val="00A74D37"/>
    <w:rsid w:val="00A7793F"/>
    <w:rsid w:val="00A801AD"/>
    <w:rsid w:val="00B4294E"/>
    <w:rsid w:val="00C07195"/>
    <w:rsid w:val="00C15295"/>
    <w:rsid w:val="00C25FFF"/>
    <w:rsid w:val="00C457D2"/>
    <w:rsid w:val="00CB4AFF"/>
    <w:rsid w:val="00CC3C51"/>
    <w:rsid w:val="00CE3174"/>
    <w:rsid w:val="00D0014D"/>
    <w:rsid w:val="00D9258A"/>
    <w:rsid w:val="00DA3A9A"/>
    <w:rsid w:val="00DC7499"/>
    <w:rsid w:val="00E128D5"/>
    <w:rsid w:val="00E26B17"/>
    <w:rsid w:val="00E65386"/>
    <w:rsid w:val="00EA16C7"/>
    <w:rsid w:val="00EA5AFC"/>
    <w:rsid w:val="00EB3C50"/>
    <w:rsid w:val="00EB72E2"/>
    <w:rsid w:val="00F0399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1A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AB8"/>
  </w:style>
  <w:style w:type="paragraph" w:styleId="Footer">
    <w:name w:val="footer"/>
    <w:basedOn w:val="Normal"/>
    <w:link w:val="FooterChar"/>
    <w:uiPriority w:val="99"/>
    <w:semiHidden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160</Words>
  <Characters>913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obec</dc:creator>
  <cp:keywords/>
  <dc:description/>
  <cp:lastModifiedBy>Čekanová Iveta</cp:lastModifiedBy>
  <cp:revision>2</cp:revision>
  <dcterms:created xsi:type="dcterms:W3CDTF">2012-08-13T18:30:00Z</dcterms:created>
  <dcterms:modified xsi:type="dcterms:W3CDTF">2012-08-13T18:30:00Z</dcterms:modified>
</cp:coreProperties>
</file>